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文件编号：QP-006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7 页</w:t>
      </w:r>
    </w:p>
    <w:p/>
    <w:p>
      <w:pPr>
        <w:pStyle w:val="Title"/>
        <w:jc w:val="center"/>
      </w:pPr>
      <w:r>
        <w:t>不合格品控制程序</w:t>
      </w:r>
    </w:p>
    <w:p/>
    <w:p>
      <w:pPr>
        <w:pStyle w:val="Heading1"/>
      </w:pPr>
      <w:r>
        <w:t>1. 目的</w:t>
      </w:r>
    </w:p>
    <w:p>
      <w:r>
        <w:t>为对不合格品进行识别、标识、隔离、评审和处置，防止不合格品的非预期使用或交付，确保产品质量符合要求，特制定本程序。</w:t>
      </w:r>
    </w:p>
    <w:p>
      <w:pPr>
        <w:pStyle w:val="Heading1"/>
      </w:pPr>
      <w:r>
        <w:t>2. 范围</w:t>
      </w:r>
    </w:p>
    <w:p>
      <w:r>
        <w:t>本程序适用于公司内所有不合格品的控制，包括：采购产品/原材料、过程产品/半成品、最终产品、客户退回的不合格品、库存产品的不合格。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不合格品</w:t>
            </w:r>
          </w:p>
        </w:tc>
        <w:tc>
          <w:tcPr>
            <w:tcW w:type="dxa" w:w="4153"/>
          </w:tcPr>
          <w:p>
            <w:r>
              <w:t>未满足要求的产品，包括原材料、半成品和成品</w:t>
            </w:r>
          </w:p>
        </w:tc>
      </w:tr>
      <w:tr>
        <w:tc>
          <w:tcPr>
            <w:tcW w:type="dxa" w:w="4153"/>
          </w:tcPr>
          <w:p>
            <w:r>
              <w:t>返工</w:t>
            </w:r>
          </w:p>
        </w:tc>
        <w:tc>
          <w:tcPr>
            <w:tcW w:type="dxa" w:w="4153"/>
          </w:tcPr>
          <w:p>
            <w:r>
              <w:t>为使不合格产品符合要求而对其采取的措施</w:t>
            </w:r>
          </w:p>
        </w:tc>
      </w:tr>
      <w:tr>
        <w:tc>
          <w:tcPr>
            <w:tcW w:type="dxa" w:w="4153"/>
          </w:tcPr>
          <w:p>
            <w:r>
              <w:t>返修</w:t>
            </w:r>
          </w:p>
        </w:tc>
        <w:tc>
          <w:tcPr>
            <w:tcW w:type="dxa" w:w="4153"/>
          </w:tcPr>
          <w:p>
            <w:r>
              <w:t>为使不合格产品满足预期用途而对其采取的措施</w:t>
            </w:r>
          </w:p>
        </w:tc>
      </w:tr>
      <w:tr>
        <w:tc>
          <w:tcPr>
            <w:tcW w:type="dxa" w:w="4153"/>
          </w:tcPr>
          <w:p>
            <w:r>
              <w:t>让步接收</w:t>
            </w:r>
          </w:p>
        </w:tc>
        <w:tc>
          <w:tcPr>
            <w:tcW w:type="dxa" w:w="4153"/>
          </w:tcPr>
          <w:p>
            <w:r>
              <w:t>对使用或放行不符合规定要求的产品的许可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质量部</w:t>
      </w:r>
    </w:p>
    <w:p>
      <w:pPr>
        <w:pStyle w:val="ListBullet"/>
      </w:pPr>
      <w:r>
        <w:t>归口管理不合格品控制</w:t>
      </w:r>
    </w:p>
    <w:p>
      <w:pPr>
        <w:pStyle w:val="ListBullet"/>
      </w:pPr>
      <w:r>
        <w:t>组织不合格品评审</w:t>
      </w:r>
    </w:p>
    <w:p>
      <w:pPr>
        <w:pStyle w:val="ListBullet"/>
      </w:pPr>
      <w:r>
        <w:t>判定不合格品处置方式</w:t>
      </w:r>
    </w:p>
    <w:p>
      <w:pPr>
        <w:pStyle w:val="ListBullet"/>
      </w:pPr>
      <w:r>
        <w:t>跟踪不合格品处置结果</w:t>
      </w:r>
    </w:p>
    <w:p>
      <w:pPr>
        <w:pStyle w:val="Heading2"/>
      </w:pPr>
      <w:r>
        <w:t>4.2 生产部</w:t>
      </w:r>
    </w:p>
    <w:p>
      <w:pPr>
        <w:pStyle w:val="ListBullet"/>
      </w:pPr>
      <w:r>
        <w:t>负责过程不合格品的标识和隔离</w:t>
      </w:r>
    </w:p>
    <w:p>
      <w:pPr>
        <w:pStyle w:val="ListBullet"/>
      </w:pPr>
      <w:r>
        <w:t>执行不合格品处置决定</w:t>
      </w:r>
    </w:p>
    <w:p>
      <w:pPr>
        <w:pStyle w:val="ListBullet"/>
      </w:pPr>
      <w:r>
        <w:t>实施返工/返修</w:t>
      </w:r>
    </w:p>
    <w:p>
      <w:pPr>
        <w:pStyle w:val="Heading2"/>
      </w:pPr>
      <w:r>
        <w:t>4.3 采购部</w:t>
      </w:r>
    </w:p>
    <w:p>
      <w:pPr>
        <w:pStyle w:val="ListBullet"/>
      </w:pPr>
      <w:r>
        <w:t>负责与供应商沟通原材料不合格问题</w:t>
      </w:r>
    </w:p>
    <w:p>
      <w:pPr>
        <w:pStyle w:val="ListBullet"/>
      </w:pPr>
      <w:r>
        <w:t>办理退货或换货</w:t>
      </w:r>
    </w:p>
    <w:p>
      <w:pPr>
        <w:pStyle w:val="Heading2"/>
      </w:pPr>
      <w:r>
        <w:t>4.4 仓库</w:t>
      </w:r>
    </w:p>
    <w:p>
      <w:pPr>
        <w:pStyle w:val="ListBullet"/>
      </w:pPr>
      <w:r>
        <w:t>负责不合格品的隔离存放</w:t>
      </w:r>
    </w:p>
    <w:p>
      <w:pPr>
        <w:pStyle w:val="ListBullet"/>
      </w:pPr>
      <w:r>
        <w:t>标识管理</w:t>
      </w:r>
    </w:p>
    <w:p>
      <w:pPr>
        <w:pStyle w:val="Heading2"/>
      </w:pPr>
      <w:r>
        <w:t>4.5 销售部</w:t>
      </w:r>
    </w:p>
    <w:p>
      <w:pPr>
        <w:pStyle w:val="ListBullet"/>
      </w:pPr>
      <w:r>
        <w:t>负责与客户沟通不合格品处理事宜</w:t>
      </w:r>
    </w:p>
    <w:p>
      <w:pPr>
        <w:pStyle w:val="ListBullet"/>
      </w:pPr>
      <w:r>
        <w:t>办理客户退货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不合格品识别</w:t>
      </w:r>
    </w:p>
    <w:p>
      <w:pPr>
        <w:pStyle w:val="Heading3"/>
      </w:pPr>
      <w:r>
        <w:t>5.1.1 识别时机</w:t>
      </w:r>
    </w:p>
    <w:p>
      <w:pPr>
        <w:pStyle w:val="ListBullet"/>
      </w:pPr>
      <w:r>
        <w:t>进货检验时发现的不合格</w:t>
      </w:r>
    </w:p>
    <w:p>
      <w:pPr>
        <w:pStyle w:val="ListBullet"/>
      </w:pPr>
      <w:r>
        <w:t>过程检验时发现的不合格</w:t>
      </w:r>
    </w:p>
    <w:p>
      <w:pPr>
        <w:pStyle w:val="ListBullet"/>
      </w:pPr>
      <w:r>
        <w:t>最终检验时发现的不合格</w:t>
      </w:r>
    </w:p>
    <w:p>
      <w:pPr>
        <w:pStyle w:val="ListBullet"/>
      </w:pPr>
      <w:r>
        <w:t>客户反馈/退货发现的不合格</w:t>
      </w:r>
    </w:p>
    <w:p>
      <w:pPr>
        <w:pStyle w:val="ListBullet"/>
      </w:pPr>
      <w:r>
        <w:t>库存复查时发现的不合格</w:t>
      </w:r>
    </w:p>
    <w:p>
      <w:pPr>
        <w:pStyle w:val="Heading3"/>
      </w:pPr>
      <w:r>
        <w:t>5.1.2 标识要求</w:t>
      </w:r>
    </w:p>
    <w:p>
      <w:pPr>
        <w:pStyle w:val="ListBullet"/>
      </w:pPr>
      <w:r>
        <w:t>发现不合格品后立即标识，使用红色不合格标签</w:t>
      </w:r>
    </w:p>
    <w:p>
      <w:pPr>
        <w:pStyle w:val="ListBullet"/>
      </w:pPr>
      <w:r>
        <w:t>标签内容包括：产品名称、编号、数量、不合格描述、发现日期、发现人</w:t>
      </w:r>
    </w:p>
    <w:p>
      <w:pPr>
        <w:pStyle w:val="Heading2"/>
      </w:pPr>
      <w:r>
        <w:t>5.2 不合格品隔离</w:t>
      </w:r>
    </w:p>
    <w:p>
      <w:pPr>
        <w:pStyle w:val="ListBullet"/>
      </w:pPr>
      <w:r>
        <w:t>不合格品应存放于指定的不合格品区，与合格品区分</w:t>
      </w:r>
    </w:p>
    <w:p>
      <w:pPr>
        <w:pStyle w:val="ListBullet"/>
      </w:pPr>
      <w:r>
        <w:t>专人管理，防止混用</w:t>
      </w:r>
    </w:p>
    <w:p>
      <w:pPr>
        <w:pStyle w:val="Heading2"/>
      </w:pPr>
      <w:r>
        <w:t>5.3 不合格品评审</w:t>
      </w:r>
    </w:p>
    <w:p>
      <w:pPr>
        <w:pStyle w:val="Heading3"/>
      </w:pPr>
      <w:r>
        <w:t>5.3.1 评审组织</w:t>
      </w:r>
    </w:p>
    <w:p>
      <w:pPr>
        <w:pStyle w:val="ListBullet"/>
      </w:pPr>
      <w:r>
        <w:t>一般不合格：质量部组织评审</w:t>
      </w:r>
    </w:p>
    <w:p>
      <w:pPr>
        <w:pStyle w:val="ListBullet"/>
      </w:pPr>
      <w:r>
        <w:t>重大不合格：质量部组织，生产、技术、采购等部门参加</w:t>
      </w:r>
    </w:p>
    <w:p>
      <w:pPr>
        <w:pStyle w:val="ListBullet"/>
      </w:pPr>
      <w:r>
        <w:t>客户相关不合格：通知客户，按客户要求评审</w:t>
      </w:r>
    </w:p>
    <w:p>
      <w:pPr>
        <w:pStyle w:val="Heading3"/>
      </w:pPr>
      <w:r>
        <w:t>5.3.2 评审内容</w:t>
      </w:r>
    </w:p>
    <w:p>
      <w:pPr>
        <w:pStyle w:val="ListBullet"/>
      </w:pPr>
      <w:r>
        <w:t>不合格的性质和严重程度</w:t>
      </w:r>
    </w:p>
    <w:p>
      <w:pPr>
        <w:pStyle w:val="ListBullet"/>
      </w:pPr>
      <w:r>
        <w:t>对产品质量和性能的影响</w:t>
      </w:r>
    </w:p>
    <w:p>
      <w:pPr>
        <w:pStyle w:val="ListBullet"/>
      </w:pPr>
      <w:r>
        <w:t>处置方式建议</w:t>
      </w:r>
    </w:p>
    <w:p>
      <w:pPr>
        <w:pStyle w:val="Heading3"/>
      </w:pPr>
      <w:r>
        <w:t>5.3.3 评审记录</w:t>
      </w:r>
    </w:p>
    <w:p>
      <w:pPr>
        <w:pStyle w:val="ListBullet"/>
      </w:pPr>
      <w:r>
        <w:t>填写《不合格品评审单》（FM-027），记录评审人员、评审意见、处置决定</w:t>
      </w:r>
    </w:p>
    <w:p>
      <w:pPr>
        <w:pStyle w:val="Heading2"/>
      </w:pPr>
      <w:r>
        <w:t>5.4 不合格品处置</w:t>
      </w:r>
    </w:p>
    <w:p>
      <w:pPr>
        <w:pStyle w:val="Heading3"/>
      </w:pPr>
      <w:r>
        <w:t>5.4.1 处置方式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处置方式</w:t>
            </w:r>
          </w:p>
        </w:tc>
        <w:tc>
          <w:tcPr>
            <w:tcW w:type="dxa" w:w="2769"/>
          </w:tcPr>
          <w:p>
            <w:r>
              <w:t>适用情况</w:t>
            </w:r>
          </w:p>
        </w:tc>
        <w:tc>
          <w:tcPr>
            <w:tcW w:type="dxa" w:w="2769"/>
          </w:tcPr>
          <w:p>
            <w:r>
              <w:t>审批权限</w:t>
            </w:r>
          </w:p>
        </w:tc>
      </w:tr>
      <w:tr>
        <w:tc>
          <w:tcPr>
            <w:tcW w:type="dxa" w:w="2769"/>
          </w:tcPr>
          <w:p>
            <w:r>
              <w:t>返工</w:t>
            </w:r>
          </w:p>
        </w:tc>
        <w:tc>
          <w:tcPr>
            <w:tcW w:type="dxa" w:w="2769"/>
          </w:tcPr>
          <w:p>
            <w:r>
              <w:t>可通过加工修复至合格</w:t>
            </w:r>
          </w:p>
        </w:tc>
        <w:tc>
          <w:tcPr>
            <w:tcW w:type="dxa" w:w="2769"/>
          </w:tcPr>
          <w:p>
            <w:r>
              <w:t>质量部</w:t>
            </w:r>
          </w:p>
        </w:tc>
      </w:tr>
      <w:tr>
        <w:tc>
          <w:tcPr>
            <w:tcW w:type="dxa" w:w="2769"/>
          </w:tcPr>
          <w:p>
            <w:r>
              <w:t>返修</w:t>
            </w:r>
          </w:p>
        </w:tc>
        <w:tc>
          <w:tcPr>
            <w:tcW w:type="dxa" w:w="2769"/>
          </w:tcPr>
          <w:p>
            <w:r>
              <w:t>可修复满足使用要求</w:t>
            </w:r>
          </w:p>
        </w:tc>
        <w:tc>
          <w:tcPr>
            <w:tcW w:type="dxa" w:w="2769"/>
          </w:tcPr>
          <w:p>
            <w:r>
              <w:t>质量部/客户</w:t>
            </w:r>
          </w:p>
        </w:tc>
      </w:tr>
      <w:tr>
        <w:tc>
          <w:tcPr>
            <w:tcW w:type="dxa" w:w="2769"/>
          </w:tcPr>
          <w:p>
            <w:r>
              <w:t>让步接收</w:t>
            </w:r>
          </w:p>
        </w:tc>
        <w:tc>
          <w:tcPr>
            <w:tcW w:type="dxa" w:w="2769"/>
          </w:tcPr>
          <w:p>
            <w:r>
              <w:t>不影响使用性能</w:t>
            </w:r>
          </w:p>
        </w:tc>
        <w:tc>
          <w:tcPr>
            <w:tcW w:type="dxa" w:w="2769"/>
          </w:tcPr>
          <w:p>
            <w:r>
              <w:t>质量部/客户</w:t>
            </w:r>
          </w:p>
        </w:tc>
      </w:tr>
      <w:tr>
        <w:tc>
          <w:tcPr>
            <w:tcW w:type="dxa" w:w="2769"/>
          </w:tcPr>
          <w:p>
            <w:r>
              <w:t>降级使用</w:t>
            </w:r>
          </w:p>
        </w:tc>
        <w:tc>
          <w:tcPr>
            <w:tcW w:type="dxa" w:w="2769"/>
          </w:tcPr>
          <w:p>
            <w:r>
              <w:t>降低等级使用</w:t>
            </w:r>
          </w:p>
        </w:tc>
        <w:tc>
          <w:tcPr>
            <w:tcW w:type="dxa" w:w="2769"/>
          </w:tcPr>
          <w:p>
            <w:r>
              <w:t>质量部</w:t>
            </w:r>
          </w:p>
        </w:tc>
      </w:tr>
      <w:tr>
        <w:tc>
          <w:tcPr>
            <w:tcW w:type="dxa" w:w="2769"/>
          </w:tcPr>
          <w:p>
            <w:r>
              <w:t>报废</w:t>
            </w:r>
          </w:p>
        </w:tc>
        <w:tc>
          <w:tcPr>
            <w:tcW w:type="dxa" w:w="2769"/>
          </w:tcPr>
          <w:p>
            <w:r>
              <w:t>无法修复或无修复价值</w:t>
            </w:r>
          </w:p>
        </w:tc>
        <w:tc>
          <w:tcPr>
            <w:tcW w:type="dxa" w:w="2769"/>
          </w:tcPr>
          <w:p>
            <w:r>
              <w:t>质量部/管理者代表</w:t>
            </w:r>
          </w:p>
        </w:tc>
      </w:tr>
    </w:tbl>
    <w:p>
      <w:pPr>
        <w:pStyle w:val="Heading3"/>
      </w:pPr>
      <w:r>
        <w:t>5.4.2 返工/返修</w:t>
      </w:r>
    </w:p>
    <w:p>
      <w:pPr>
        <w:pStyle w:val="ListBullet"/>
      </w:pPr>
      <w:r>
        <w:t>编制返工/返修工艺文件，按工艺文件实施</w:t>
      </w:r>
    </w:p>
    <w:p>
      <w:pPr>
        <w:pStyle w:val="ListBullet"/>
      </w:pPr>
      <w:r>
        <w:t>返工/返修后重新检验，检验合格方可放行</w:t>
      </w:r>
    </w:p>
    <w:p>
      <w:pPr>
        <w:pStyle w:val="Heading3"/>
      </w:pPr>
      <w:r>
        <w:t>5.4.3 让步接收</w:t>
      </w:r>
    </w:p>
    <w:p>
      <w:pPr>
        <w:pStyle w:val="ListBullet"/>
      </w:pPr>
      <w:r>
        <w:t>仅适用于不影响安全和主要性能的不合格</w:t>
      </w:r>
    </w:p>
    <w:p>
      <w:pPr>
        <w:pStyle w:val="ListBullet"/>
      </w:pPr>
      <w:r>
        <w:t>需经授权人员批准，客户有要求时需客户批准</w:t>
      </w:r>
    </w:p>
    <w:p>
      <w:pPr>
        <w:pStyle w:val="Heading3"/>
      </w:pPr>
      <w:r>
        <w:t>5.4.4 报废处理</w:t>
      </w:r>
    </w:p>
    <w:p>
      <w:pPr>
        <w:pStyle w:val="ListBullet"/>
      </w:pPr>
      <w:r>
        <w:t>填写《报废申请单》（FM-028），按审批权限批准</w:t>
      </w:r>
    </w:p>
    <w:p>
      <w:pPr>
        <w:pStyle w:val="ListBullet"/>
      </w:pPr>
      <w:r>
        <w:t>报废品应破坏性处理，防止流入市场</w:t>
      </w:r>
    </w:p>
    <w:p>
      <w:pPr>
        <w:pStyle w:val="Heading2"/>
      </w:pPr>
      <w:r>
        <w:t>5.5 客户不合格品处理</w:t>
      </w:r>
    </w:p>
    <w:p>
      <w:pPr>
        <w:pStyle w:val="Heading3"/>
      </w:pPr>
      <w:r>
        <w:t>5.5.1 客户投诉</w:t>
      </w:r>
    </w:p>
    <w:p>
      <w:pPr>
        <w:pStyle w:val="ListBullet"/>
      </w:pPr>
      <w:r>
        <w:t>收到客户投诉后 24 小时内响应</w:t>
      </w:r>
    </w:p>
    <w:p>
      <w:pPr>
        <w:pStyle w:val="ListBullet"/>
      </w:pPr>
      <w:r>
        <w:t>按客户要求处理（退货、换货、返修等）</w:t>
      </w:r>
    </w:p>
    <w:p>
      <w:pPr>
        <w:pStyle w:val="ListBullet"/>
      </w:pPr>
      <w:r>
        <w:t>分析原因，制定纠正措施，回复客户 8D 报告</w:t>
      </w:r>
    </w:p>
    <w:p>
      <w:pPr>
        <w:pStyle w:val="Heading3"/>
      </w:pPr>
      <w:r>
        <w:t>5.5.2 客户退货</w:t>
      </w:r>
    </w:p>
    <w:p>
      <w:pPr>
        <w:pStyle w:val="ListBullet"/>
      </w:pPr>
      <w:r>
        <w:t>接收退货，清点数量，标识隔离</w:t>
      </w:r>
    </w:p>
    <w:p>
      <w:pPr>
        <w:pStyle w:val="ListBullet"/>
      </w:pPr>
      <w:r>
        <w:t>评审处置，通知责任部门分析原因</w:t>
      </w:r>
    </w:p>
    <w:p>
      <w:pPr>
        <w:pStyle w:val="Heading2"/>
      </w:pPr>
      <w:r>
        <w:t>5.6 供应商不合格品处理</w:t>
      </w:r>
    </w:p>
    <w:p>
      <w:pPr>
        <w:pStyle w:val="ListBullet"/>
      </w:pPr>
      <w:r>
        <w:t>发现供应商来料不合格，通知采购部</w:t>
      </w:r>
    </w:p>
    <w:p>
      <w:pPr>
        <w:pStyle w:val="ListBullet"/>
      </w:pPr>
      <w:r>
        <w:t>采购部通知供应商，按协议退货、换货或挑选使用</w:t>
      </w:r>
    </w:p>
    <w:p>
      <w:pPr>
        <w:pStyle w:val="ListBullet"/>
      </w:pPr>
      <w:r>
        <w:t>要求供应商分析原因并提交整改报告</w:t>
      </w:r>
    </w:p>
    <w:p>
      <w:pPr>
        <w:pStyle w:val="Heading2"/>
      </w:pPr>
      <w:r>
        <w:t>5.7 不合格品统计与分析</w:t>
      </w:r>
    </w:p>
    <w:p>
      <w:pPr>
        <w:pStyle w:val="ListBullet"/>
      </w:pPr>
      <w:r>
        <w:t>质量部每月统计不合格品数据，分析趋势和主要原因</w:t>
      </w:r>
    </w:p>
    <w:p>
      <w:pPr>
        <w:pStyle w:val="ListBullet"/>
      </w:pPr>
      <w:r>
        <w:t>报告管理评审，作为持续改进输入</w:t>
      </w:r>
    </w:p>
    <w:p>
      <w:pPr>
        <w:pStyle w:val="Heading2"/>
      </w:pPr>
      <w:r>
        <w:t>5.8 记录保存</w:t>
      </w:r>
    </w:p>
    <w:p>
      <w:pPr>
        <w:pStyle w:val="ListBullet"/>
      </w:pPr>
      <w:r>
        <w:t>质量部保存不合格品相关记录，保存期限 3 年</w:t>
      </w:r>
    </w:p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QP-001</w:t>
            </w:r>
          </w:p>
        </w:tc>
        <w:tc>
          <w:tcPr>
            <w:tcW w:type="dxa" w:w="4153"/>
          </w:tcPr>
          <w:p>
            <w:r>
              <w:t>文件控制程序</w:t>
            </w:r>
          </w:p>
        </w:tc>
      </w:tr>
      <w:tr>
        <w:tc>
          <w:tcPr>
            <w:tcW w:type="dxa" w:w="4153"/>
          </w:tcPr>
          <w:p>
            <w:r>
              <w:t>QP-002</w:t>
            </w:r>
          </w:p>
        </w:tc>
        <w:tc>
          <w:tcPr>
            <w:tcW w:type="dxa" w:w="4153"/>
          </w:tcPr>
          <w:p>
            <w:r>
              <w:t>记录控制程序</w:t>
            </w:r>
          </w:p>
        </w:tc>
      </w:tr>
      <w:tr>
        <w:tc>
          <w:tcPr>
            <w:tcW w:type="dxa" w:w="4153"/>
          </w:tcPr>
          <w:p>
            <w:r>
              <w:t>QP-005</w:t>
            </w:r>
          </w:p>
        </w:tc>
        <w:tc>
          <w:tcPr>
            <w:tcW w:type="dxa" w:w="4153"/>
          </w:tcPr>
          <w:p>
            <w:r>
              <w:t>纠正和预防措施控制程序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FM-026</w:t>
            </w:r>
          </w:p>
        </w:tc>
        <w:tc>
          <w:tcPr>
            <w:tcW w:type="dxa" w:w="2769"/>
          </w:tcPr>
          <w:p>
            <w:r>
              <w:t>不合格品台账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FM-027</w:t>
            </w:r>
          </w:p>
        </w:tc>
        <w:tc>
          <w:tcPr>
            <w:tcW w:type="dxa" w:w="2769"/>
          </w:tcPr>
          <w:p>
            <w:r>
              <w:t>不合格品评审单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FM-028</w:t>
            </w:r>
          </w:p>
        </w:tc>
        <w:tc>
          <w:tcPr>
            <w:tcW w:type="dxa" w:w="2769"/>
          </w:tcPr>
          <w:p>
            <w:r>
              <w:t>报废申请单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FM-029</w:t>
            </w:r>
          </w:p>
        </w:tc>
        <w:tc>
          <w:tcPr>
            <w:tcW w:type="dxa" w:w="2769"/>
          </w:tcPr>
          <w:p>
            <w:r>
              <w:t>返工/返修记录表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FM-030</w:t>
            </w:r>
          </w:p>
        </w:tc>
        <w:tc>
          <w:tcPr>
            <w:tcW w:type="dxa" w:w="2769"/>
          </w:tcPr>
          <w:p>
            <w:r>
              <w:t>让步接收申请单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A：不合格品控制流程图</w:t>
      </w:r>
    </w:p>
    <w:p>
      <w:r>
        <w:t>发现不合格 → 标识 → 隔离 → 评审 → 处置决定 → 实施处置 → 重新检验 → 放行/报废 → 记录归档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